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6534773"/>
    <w:p w14:paraId="3A76642F" w14:textId="4647F1AB" w:rsidR="00573ADB" w:rsidRDefault="00573ADB" w:rsidP="00573ADB">
      <w:pPr>
        <w:pStyle w:val="Balk1"/>
        <w:spacing w:before="0" w:after="240" w:line="36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HYPERLINK "https://platontezhazirlama.com/tez-yazdirma-fiyatlari/"</w:instrText>
      </w:r>
      <w:r>
        <w:rPr>
          <w:rFonts w:ascii="Times New Roman" w:hAnsi="Times New Roman" w:cs="Times New Roman"/>
          <w:b/>
          <w:bCs/>
          <w:color w:val="auto"/>
          <w:sz w:val="24"/>
          <w:szCs w:val="24"/>
        </w:rPr>
      </w:r>
      <w:r>
        <w:rPr>
          <w:rFonts w:ascii="Times New Roman" w:hAnsi="Times New Roman" w:cs="Times New Roman"/>
          <w:b/>
          <w:bCs/>
          <w:color w:val="auto"/>
          <w:sz w:val="24"/>
          <w:szCs w:val="24"/>
        </w:rPr>
        <w:fldChar w:fldCharType="separate"/>
      </w:r>
      <w:r w:rsidRPr="00573ADB">
        <w:rPr>
          <w:rStyle w:val="Kpr"/>
          <w:rFonts w:ascii="Times New Roman" w:hAnsi="Times New Roman" w:cs="Times New Roman"/>
          <w:b/>
          <w:bCs/>
          <w:sz w:val="24"/>
          <w:szCs w:val="24"/>
        </w:rPr>
        <w:t>Platon Tez Yazım Örneği 2</w:t>
      </w:r>
      <w:r>
        <w:rPr>
          <w:rFonts w:ascii="Times New Roman" w:hAnsi="Times New Roman" w:cs="Times New Roman"/>
          <w:b/>
          <w:bCs/>
          <w:color w:val="auto"/>
          <w:sz w:val="24"/>
          <w:szCs w:val="24"/>
        </w:rPr>
        <w:fldChar w:fldCharType="end"/>
      </w:r>
    </w:p>
    <w:p w14:paraId="157991F9" w14:textId="0B258BF1" w:rsidR="00573ADB" w:rsidRPr="00573ADB" w:rsidRDefault="00573ADB" w:rsidP="00573ADB">
      <w:pPr>
        <w:pStyle w:val="Balk1"/>
        <w:spacing w:before="0" w:after="240" w:line="360" w:lineRule="auto"/>
        <w:ind w:firstLine="709"/>
        <w:jc w:val="center"/>
        <w:rPr>
          <w:rFonts w:ascii="Times New Roman" w:hAnsi="Times New Roman" w:cs="Times New Roman"/>
          <w:b/>
          <w:bCs/>
          <w:color w:val="auto"/>
          <w:sz w:val="24"/>
          <w:szCs w:val="24"/>
        </w:rPr>
      </w:pPr>
      <w:r w:rsidRPr="00573ADB">
        <w:rPr>
          <w:rFonts w:ascii="Times New Roman" w:hAnsi="Times New Roman" w:cs="Times New Roman"/>
          <w:b/>
          <w:bCs/>
          <w:color w:val="auto"/>
          <w:sz w:val="24"/>
          <w:szCs w:val="24"/>
        </w:rPr>
        <w:t>BİRİNCİ BÖLÜM</w:t>
      </w:r>
    </w:p>
    <w:p w14:paraId="73E1B234" w14:textId="77777777" w:rsidR="00573ADB" w:rsidRPr="00573ADB" w:rsidRDefault="00573ADB" w:rsidP="00573ADB">
      <w:pPr>
        <w:pStyle w:val="Balk1"/>
        <w:spacing w:before="0" w:after="240" w:line="360" w:lineRule="auto"/>
        <w:ind w:firstLine="709"/>
        <w:jc w:val="center"/>
        <w:rPr>
          <w:rFonts w:ascii="Times New Roman" w:hAnsi="Times New Roman" w:cs="Times New Roman"/>
          <w:b/>
          <w:bCs/>
          <w:color w:val="auto"/>
          <w:sz w:val="24"/>
          <w:szCs w:val="24"/>
        </w:rPr>
      </w:pPr>
      <w:r w:rsidRPr="00573ADB">
        <w:rPr>
          <w:rFonts w:ascii="Times New Roman" w:hAnsi="Times New Roman" w:cs="Times New Roman"/>
          <w:b/>
          <w:bCs/>
          <w:color w:val="auto"/>
          <w:sz w:val="24"/>
          <w:szCs w:val="24"/>
        </w:rPr>
        <w:t>YAHUDİ GELENEĞİNDE EZRA</w:t>
      </w:r>
      <w:bookmarkEnd w:id="0"/>
    </w:p>
    <w:p w14:paraId="347E704C" w14:textId="77777777" w:rsidR="00573ADB" w:rsidRPr="00573ADB" w:rsidRDefault="00573ADB" w:rsidP="00573ADB">
      <w:pPr>
        <w:pStyle w:val="Balk2"/>
        <w:spacing w:before="0" w:after="240" w:line="360" w:lineRule="auto"/>
        <w:ind w:firstLine="709"/>
        <w:jc w:val="both"/>
        <w:rPr>
          <w:rFonts w:ascii="Times New Roman" w:hAnsi="Times New Roman" w:cs="Times New Roman"/>
          <w:b/>
          <w:bCs/>
          <w:color w:val="auto"/>
          <w:sz w:val="24"/>
          <w:szCs w:val="24"/>
        </w:rPr>
      </w:pPr>
      <w:bookmarkStart w:id="1" w:name="_Toc166534774"/>
      <w:r w:rsidRPr="00573ADB">
        <w:rPr>
          <w:rFonts w:ascii="Times New Roman" w:hAnsi="Times New Roman" w:cs="Times New Roman"/>
          <w:b/>
          <w:bCs/>
          <w:color w:val="auto"/>
          <w:sz w:val="24"/>
          <w:szCs w:val="24"/>
          <w:shd w:val="clear" w:color="auto" w:fill="FFFFFF"/>
        </w:rPr>
        <w:t>1.1. İkinci Tapınak dönemi</w:t>
      </w:r>
      <w:bookmarkEnd w:id="1"/>
    </w:p>
    <w:p w14:paraId="71A6F3BD"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Yahudilerin Babil’den Kudüs’e dönüşlerinin ardından başlayan İkinci Mabet Dönemi, M.Ö. 516/515 yıllarında mabetlerinin yeniden inşasıyla başlamış ve M.S. 70 yılında Romalılarca gerçekleştirilen yıkımına kadar devam etmiştir. Bu süreç, kaynaklarda Babil tutsaklığından dönüş olarak kaydedilmiş ve Kudüs’ün, mabetlerinin tekrar kurulduğu, dini ilkelerle yoğrulmuş bir toplumun inşa edildiği bir dönem olarak anılmıştır. Bu tarihi evre, ‘Yeniden Yapılanma Dönemi’ olarak adlandırılmaktadır.</w:t>
      </w:r>
      <w:r w:rsidRPr="00573ADB">
        <w:rPr>
          <w:rStyle w:val="DipnotBavurusu"/>
          <w:rFonts w:cs="Times New Roman"/>
          <w:sz w:val="24"/>
          <w:szCs w:val="24"/>
        </w:rPr>
        <w:footnoteReference w:id="1"/>
      </w:r>
    </w:p>
    <w:p w14:paraId="2CE19B96"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 xml:space="preserve">İkinci Tapınak dönemi ve onu takip eden İkinci Yahudi Cumhuriyeti zamanları, tarihsel süreç içerisinde kendine özgü gelişimler göstermiştir. Babil sürgününden dönen Yahudi halkı, M.Ö. 800 ila M.Ö. 200 yılları arasında gerçekleşen </w:t>
      </w:r>
      <w:proofErr w:type="spellStart"/>
      <w:r w:rsidRPr="00573ADB">
        <w:rPr>
          <w:rFonts w:cs="Times New Roman"/>
          <w:sz w:val="24"/>
          <w:szCs w:val="24"/>
        </w:rPr>
        <w:t>Axial</w:t>
      </w:r>
      <w:proofErr w:type="spellEnd"/>
      <w:r w:rsidRPr="00573ADB">
        <w:rPr>
          <w:rFonts w:cs="Times New Roman"/>
          <w:sz w:val="24"/>
          <w:szCs w:val="24"/>
        </w:rPr>
        <w:t xml:space="preserve"> Çağ olarak adlandırılan bir dönemde yaşamıştır. Bu çağ, düşünsel ve bilimsel atılımların gerçekleştiği, aynı zamanda çeşitli kültürlerin doğrudan teması sonucu yeni fikir akımlarının belirginleştiği bir zaman dilimi olmuştur. Söz konusu dönemde, dünyanın çeşitli bölgelerinde bilgi ve düşünce akımlarının eş zamanlı olarak ilerlemesi gözlemlenmiş, felsefi ve dini düşüncelerin öncüleri bu dönemde sahneye çıkmıştır. Çin’de, Hindistan’da ve İran’da yaşanan entelektüel gelişmeler, aynı dönemde Yahudilerin yaşadığı topraklarda da karşılık bulmuştur. Bu dönemde, Çin’de Taoizm ve Konfüçyüsçülük gibi felsefeler, Hindistan’da ise Budizm ve </w:t>
      </w:r>
      <w:proofErr w:type="spellStart"/>
      <w:r w:rsidRPr="00573ADB">
        <w:rPr>
          <w:rFonts w:cs="Times New Roman"/>
          <w:sz w:val="24"/>
          <w:szCs w:val="24"/>
        </w:rPr>
        <w:t>Jainizm</w:t>
      </w:r>
      <w:proofErr w:type="spellEnd"/>
      <w:r w:rsidRPr="00573ADB">
        <w:rPr>
          <w:rFonts w:cs="Times New Roman"/>
          <w:sz w:val="24"/>
          <w:szCs w:val="24"/>
        </w:rPr>
        <w:t xml:space="preserve"> gibi inanç sistemleri filizlenmiştir. M.Ö. 6. yüzyılda yaşamış olan Konfüçyüs (MÖ 551-478), Lao-</w:t>
      </w:r>
      <w:proofErr w:type="spellStart"/>
      <w:r w:rsidRPr="00573ADB">
        <w:rPr>
          <w:rFonts w:cs="Times New Roman"/>
          <w:sz w:val="24"/>
          <w:szCs w:val="24"/>
        </w:rPr>
        <w:t>tse</w:t>
      </w:r>
      <w:proofErr w:type="spellEnd"/>
      <w:r w:rsidRPr="00573ADB">
        <w:rPr>
          <w:rFonts w:cs="Times New Roman"/>
          <w:sz w:val="24"/>
          <w:szCs w:val="24"/>
        </w:rPr>
        <w:t xml:space="preserve"> ve Zerdüşt gibi dini liderlerin yanı sıra, </w:t>
      </w:r>
      <w:proofErr w:type="spellStart"/>
      <w:r w:rsidRPr="00573ADB">
        <w:rPr>
          <w:rFonts w:cs="Times New Roman"/>
          <w:sz w:val="24"/>
          <w:szCs w:val="24"/>
        </w:rPr>
        <w:t>Kapila</w:t>
      </w:r>
      <w:proofErr w:type="spellEnd"/>
      <w:r w:rsidRPr="00573ADB">
        <w:rPr>
          <w:rFonts w:cs="Times New Roman"/>
          <w:sz w:val="24"/>
          <w:szCs w:val="24"/>
        </w:rPr>
        <w:t xml:space="preserve">, </w:t>
      </w:r>
      <w:proofErr w:type="spellStart"/>
      <w:r w:rsidRPr="00573ADB">
        <w:rPr>
          <w:rFonts w:cs="Times New Roman"/>
          <w:sz w:val="24"/>
          <w:szCs w:val="24"/>
        </w:rPr>
        <w:t>Xenophanes</w:t>
      </w:r>
      <w:proofErr w:type="spellEnd"/>
      <w:r w:rsidRPr="00573ADB">
        <w:rPr>
          <w:rFonts w:cs="Times New Roman"/>
          <w:sz w:val="24"/>
          <w:szCs w:val="24"/>
        </w:rPr>
        <w:t xml:space="preserve">, </w:t>
      </w:r>
      <w:proofErr w:type="spellStart"/>
      <w:r w:rsidRPr="00573ADB">
        <w:rPr>
          <w:rFonts w:cs="Times New Roman"/>
          <w:sz w:val="24"/>
          <w:szCs w:val="24"/>
        </w:rPr>
        <w:t>Parmenides</w:t>
      </w:r>
      <w:proofErr w:type="spellEnd"/>
      <w:r w:rsidRPr="00573ADB">
        <w:rPr>
          <w:rFonts w:cs="Times New Roman"/>
          <w:sz w:val="24"/>
          <w:szCs w:val="24"/>
        </w:rPr>
        <w:t xml:space="preserve">, Empedokles, Pythagoras ve </w:t>
      </w:r>
      <w:proofErr w:type="spellStart"/>
      <w:r w:rsidRPr="00573ADB">
        <w:rPr>
          <w:rFonts w:cs="Times New Roman"/>
          <w:sz w:val="24"/>
          <w:szCs w:val="24"/>
        </w:rPr>
        <w:t>Aeschylus</w:t>
      </w:r>
      <w:proofErr w:type="spellEnd"/>
      <w:r w:rsidRPr="00573ADB">
        <w:rPr>
          <w:rFonts w:cs="Times New Roman"/>
          <w:sz w:val="24"/>
          <w:szCs w:val="24"/>
        </w:rPr>
        <w:t xml:space="preserve"> gibi felsefeciler, dönemlerinin düşünsel yapılarını etkilemişlerdir. Bu dönemin entelektüel zenginliği, Socrates (MÖ 469-399) ve Plato (MÖ 427-347) gibi düşünürlerin çalışmalarıyla batıda da yankı bulmuştur.</w:t>
      </w:r>
      <w:r w:rsidRPr="00573ADB">
        <w:rPr>
          <w:rStyle w:val="DipnotBavurusu"/>
          <w:rFonts w:cs="Times New Roman"/>
          <w:sz w:val="24"/>
          <w:szCs w:val="24"/>
        </w:rPr>
        <w:footnoteReference w:id="2"/>
      </w:r>
    </w:p>
    <w:p w14:paraId="661AA221"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 xml:space="preserve">Ayrıca, Yeni Babil ve Pers imparatorlukları, dönemin siyasi yapısını şekillendiren güçlü devletler olarak karşımıza çıkmaktadır. Asur imparatorluğunun yıkılmasıyla birlikte, bu yeni imparatorluklar, Perslerin </w:t>
      </w:r>
      <w:proofErr w:type="spellStart"/>
      <w:r w:rsidRPr="00573ADB">
        <w:rPr>
          <w:rFonts w:cs="Times New Roman"/>
          <w:sz w:val="24"/>
          <w:szCs w:val="24"/>
        </w:rPr>
        <w:t>Koreş’iyle</w:t>
      </w:r>
      <w:proofErr w:type="spellEnd"/>
      <w:r w:rsidRPr="00573ADB">
        <w:rPr>
          <w:rFonts w:cs="Times New Roman"/>
          <w:sz w:val="24"/>
          <w:szCs w:val="24"/>
        </w:rPr>
        <w:t xml:space="preserve"> başlayan ve Darius ve </w:t>
      </w:r>
      <w:proofErr w:type="spellStart"/>
      <w:r w:rsidRPr="00573ADB">
        <w:rPr>
          <w:rFonts w:cs="Times New Roman"/>
          <w:sz w:val="24"/>
          <w:szCs w:val="24"/>
        </w:rPr>
        <w:t>Xerxes’le</w:t>
      </w:r>
      <w:proofErr w:type="spellEnd"/>
      <w:r w:rsidRPr="00573ADB">
        <w:rPr>
          <w:rFonts w:cs="Times New Roman"/>
          <w:sz w:val="24"/>
          <w:szCs w:val="24"/>
        </w:rPr>
        <w:t xml:space="preserve"> devam eden dönemlerde </w:t>
      </w:r>
      <w:r w:rsidRPr="00573ADB">
        <w:rPr>
          <w:rFonts w:cs="Times New Roman"/>
          <w:sz w:val="24"/>
          <w:szCs w:val="24"/>
        </w:rPr>
        <w:lastRenderedPageBreak/>
        <w:t>geniş bir etki alanına sahip olmuştur. Bu dönem, Perslerin etkisi altında Hindistan, Orta Asya, Mısır ve Balkan Yarımadası’nın zengin kültürel mirasını bir araya getiren bir çağ olarak değerlendirilmektedir. Batıda ise, Yunan kent devletlerinin siyasi birliğinin zayıf olması, Yunan kültürünün çeşitli biçimlerde gelişimine olanak tanımıştır.</w:t>
      </w:r>
      <w:r w:rsidRPr="00573ADB">
        <w:rPr>
          <w:rStyle w:val="DipnotBavurusu"/>
          <w:rFonts w:cs="Times New Roman"/>
          <w:sz w:val="24"/>
          <w:szCs w:val="24"/>
        </w:rPr>
        <w:t xml:space="preserve"> </w:t>
      </w:r>
      <w:r w:rsidRPr="00573ADB">
        <w:rPr>
          <w:rStyle w:val="DipnotBavurusu"/>
          <w:rFonts w:cs="Times New Roman"/>
          <w:sz w:val="24"/>
          <w:szCs w:val="24"/>
        </w:rPr>
        <w:footnoteReference w:id="3"/>
      </w:r>
    </w:p>
    <w:p w14:paraId="26CAC79F"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 xml:space="preserve">Pers İmparatorluğu’nun genişlemesi, Doğu ve Batı arasında, özellikle Yunan kültürüyle bağlantılı olarak, düşünsel ve kültürel bir etkileşimi tetiklemiştir. Bu dönemde, Yunan tragedya yazarlarından </w:t>
      </w:r>
      <w:proofErr w:type="spellStart"/>
      <w:r w:rsidRPr="00573ADB">
        <w:rPr>
          <w:rFonts w:cs="Times New Roman"/>
          <w:sz w:val="24"/>
          <w:szCs w:val="24"/>
        </w:rPr>
        <w:t>Sophocles</w:t>
      </w:r>
      <w:proofErr w:type="spellEnd"/>
      <w:r w:rsidRPr="00573ADB">
        <w:rPr>
          <w:rFonts w:cs="Times New Roman"/>
          <w:sz w:val="24"/>
          <w:szCs w:val="24"/>
        </w:rPr>
        <w:t xml:space="preserve">, Euripides ve </w:t>
      </w:r>
      <w:proofErr w:type="spellStart"/>
      <w:r w:rsidRPr="00573ADB">
        <w:rPr>
          <w:rFonts w:cs="Times New Roman"/>
          <w:sz w:val="24"/>
          <w:szCs w:val="24"/>
        </w:rPr>
        <w:t>Aeschylus</w:t>
      </w:r>
      <w:proofErr w:type="spellEnd"/>
      <w:r w:rsidRPr="00573ADB">
        <w:rPr>
          <w:rFonts w:cs="Times New Roman"/>
          <w:sz w:val="24"/>
          <w:szCs w:val="24"/>
        </w:rPr>
        <w:t xml:space="preserve">, tıpkı Hindistan’daki felsefeciler gibi, insan doğasının ve toplumsal düzenin derinlemesine analizlerini yapmışlardır. </w:t>
      </w:r>
      <w:proofErr w:type="spellStart"/>
      <w:r w:rsidRPr="00573ADB">
        <w:rPr>
          <w:rFonts w:cs="Times New Roman"/>
          <w:sz w:val="24"/>
          <w:szCs w:val="24"/>
        </w:rPr>
        <w:t>İyonyalı</w:t>
      </w:r>
      <w:proofErr w:type="spellEnd"/>
      <w:r w:rsidRPr="00573ADB">
        <w:rPr>
          <w:rFonts w:cs="Times New Roman"/>
          <w:sz w:val="24"/>
          <w:szCs w:val="24"/>
        </w:rPr>
        <w:t xml:space="preserve"> filozoflar, düşünce tarihine kendi izlerini </w:t>
      </w:r>
      <w:proofErr w:type="spellStart"/>
      <w:r w:rsidRPr="00573ADB">
        <w:rPr>
          <w:rFonts w:cs="Times New Roman"/>
          <w:sz w:val="24"/>
          <w:szCs w:val="24"/>
        </w:rPr>
        <w:t>bırakmışlerdır</w:t>
      </w:r>
      <w:proofErr w:type="spellEnd"/>
      <w:r w:rsidRPr="00573ADB">
        <w:rPr>
          <w:rFonts w:cs="Times New Roman"/>
          <w:sz w:val="24"/>
          <w:szCs w:val="24"/>
        </w:rPr>
        <w:t>.</w:t>
      </w:r>
      <w:r w:rsidRPr="00573ADB">
        <w:rPr>
          <w:rStyle w:val="DipnotBavurusu"/>
          <w:rFonts w:cs="Times New Roman"/>
          <w:sz w:val="24"/>
          <w:szCs w:val="24"/>
        </w:rPr>
        <w:footnoteReference w:id="4"/>
      </w:r>
    </w:p>
    <w:p w14:paraId="4C58ED5C"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 xml:space="preserve">Yahudi tarihinin M.Ö. 600 ile M.Ö. 400 arasındaki kesiti, oldukça bereketli ve yenilikçi bir dönem olarak nitelendirilmektedir. Araştırmacılar, Babil sürgünü öncesinde ve sonrasında, İsrail’in dini yapısında önemli dönüşümler yaşandığını belirtmektedirler. Özellikle sürgünden dönüş süreci, Yahudilik açısından Babil’deki esareti takiben İsrail’de derin değişimlerin meydana gelmesine yol açmıştır. Babil’den dönüş sonrası, Pers İmparatorluğu’nun himayesi altında Yahudiler, yeniden bir millet olarak şekillenmiş ve Yahudilik inancı sistemli bir yapı kazanmıştır. Bu süreç, “İsrail dini” yani </w:t>
      </w:r>
      <w:proofErr w:type="spellStart"/>
      <w:r w:rsidRPr="00573ADB">
        <w:rPr>
          <w:rFonts w:cs="Times New Roman"/>
          <w:sz w:val="24"/>
          <w:szCs w:val="24"/>
        </w:rPr>
        <w:t>Yahvism’in</w:t>
      </w:r>
      <w:proofErr w:type="spellEnd"/>
      <w:r w:rsidRPr="00573ADB">
        <w:rPr>
          <w:rFonts w:cs="Times New Roman"/>
          <w:sz w:val="24"/>
          <w:szCs w:val="24"/>
        </w:rPr>
        <w:t xml:space="preserve">, “Yahudilik” olarak yeni bir forma bürünmesini sağlamıştır. Bazı araştırmacılar, sürgün sonrası dönemin, inancın tek bir forma sahip olmadığını ve birden fazla Yahudilik akımının var olduğunu ifade etmektedirler. </w:t>
      </w:r>
      <w:proofErr w:type="spellStart"/>
      <w:r w:rsidRPr="00573ADB">
        <w:rPr>
          <w:rFonts w:cs="Times New Roman"/>
          <w:sz w:val="24"/>
          <w:szCs w:val="24"/>
        </w:rPr>
        <w:t>Yahvism</w:t>
      </w:r>
      <w:proofErr w:type="spellEnd"/>
      <w:r w:rsidRPr="00573ADB">
        <w:rPr>
          <w:rFonts w:cs="Times New Roman"/>
          <w:sz w:val="24"/>
          <w:szCs w:val="24"/>
        </w:rPr>
        <w:t xml:space="preserve"> ve Yahudilik arasındaki farklar, her ne kadar müşterek köklerden gelseler </w:t>
      </w:r>
      <w:proofErr w:type="gramStart"/>
      <w:r w:rsidRPr="00573ADB">
        <w:rPr>
          <w:rFonts w:cs="Times New Roman"/>
          <w:sz w:val="24"/>
          <w:szCs w:val="24"/>
        </w:rPr>
        <w:t>de,</w:t>
      </w:r>
      <w:proofErr w:type="gramEnd"/>
      <w:r w:rsidRPr="00573ADB">
        <w:rPr>
          <w:rFonts w:cs="Times New Roman"/>
          <w:sz w:val="24"/>
          <w:szCs w:val="24"/>
        </w:rPr>
        <w:t xml:space="preserve"> iki inancın formel yapıları arasında belirgin farklar olduğunu göstermektedir. Geleneksel değerlendirme, sürgün öncesi </w:t>
      </w:r>
      <w:proofErr w:type="spellStart"/>
      <w:r w:rsidRPr="00573ADB">
        <w:rPr>
          <w:rFonts w:cs="Times New Roman"/>
          <w:sz w:val="24"/>
          <w:szCs w:val="24"/>
        </w:rPr>
        <w:t>Yahvism’in</w:t>
      </w:r>
      <w:proofErr w:type="spellEnd"/>
      <w:r w:rsidRPr="00573ADB">
        <w:rPr>
          <w:rFonts w:cs="Times New Roman"/>
          <w:sz w:val="24"/>
          <w:szCs w:val="24"/>
        </w:rPr>
        <w:t xml:space="preserve"> daha net bir formülasyona sahip olduğunu, Yahudiliğin ise daha az formüle edilmiş bir gelişme gösterdiğini vurgulamaktadır.</w:t>
      </w:r>
      <w:r w:rsidRPr="00573ADB">
        <w:rPr>
          <w:rStyle w:val="DipnotBavurusu"/>
          <w:rFonts w:cs="Times New Roman"/>
          <w:sz w:val="24"/>
          <w:szCs w:val="24"/>
        </w:rPr>
        <w:footnoteReference w:id="5"/>
      </w:r>
    </w:p>
    <w:p w14:paraId="0A96D105"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 xml:space="preserve">İkinci Tapınak dönemi boyunca, Yahudilerin kendi tanrıları </w:t>
      </w:r>
      <w:proofErr w:type="spellStart"/>
      <w:r w:rsidRPr="00573ADB">
        <w:rPr>
          <w:rFonts w:cs="Times New Roman"/>
          <w:sz w:val="24"/>
          <w:szCs w:val="24"/>
        </w:rPr>
        <w:t>Yavhe’ye</w:t>
      </w:r>
      <w:proofErr w:type="spellEnd"/>
      <w:r w:rsidRPr="00573ADB">
        <w:rPr>
          <w:rFonts w:cs="Times New Roman"/>
          <w:sz w:val="24"/>
          <w:szCs w:val="24"/>
        </w:rPr>
        <w:t xml:space="preserve"> dair düşünceleri evrimleşmiştir ve kozmik bir boyut kazanmıştır. Bu dönemde, Yahudiler sadece Tanrı </w:t>
      </w:r>
      <w:proofErr w:type="spellStart"/>
      <w:r w:rsidRPr="00573ADB">
        <w:rPr>
          <w:rFonts w:cs="Times New Roman"/>
          <w:sz w:val="24"/>
          <w:szCs w:val="24"/>
        </w:rPr>
        <w:t>Yavhe’nin</w:t>
      </w:r>
      <w:proofErr w:type="spellEnd"/>
      <w:r w:rsidRPr="00573ADB">
        <w:rPr>
          <w:rFonts w:cs="Times New Roman"/>
          <w:sz w:val="24"/>
          <w:szCs w:val="24"/>
        </w:rPr>
        <w:t xml:space="preserve"> evrensel bir varlık olduğunu benimsemekle kalmamış, aynı zamanda daha geniş bir coğrafyada yaşama ve çeşitli kültürlerle etkileşimde bulunma deneyimi kazanmışlardır. Bu bağlamda, Babil’deki sürgün sırasında ve sonrasında tanık olunan değişiklikler, </w:t>
      </w:r>
      <w:proofErr w:type="spellStart"/>
      <w:r w:rsidRPr="00573ADB">
        <w:rPr>
          <w:rFonts w:cs="Times New Roman"/>
          <w:sz w:val="24"/>
          <w:szCs w:val="24"/>
        </w:rPr>
        <w:t>Yavhe’nin</w:t>
      </w:r>
      <w:proofErr w:type="spellEnd"/>
      <w:r w:rsidRPr="00573ADB">
        <w:rPr>
          <w:rFonts w:cs="Times New Roman"/>
          <w:sz w:val="24"/>
          <w:szCs w:val="24"/>
        </w:rPr>
        <w:t xml:space="preserve"> tek bir tanrı olarak anlaşılmasının ötesinde, O’nun tüm evreni yöneten ve uluslararası bir tanrı </w:t>
      </w:r>
      <w:r w:rsidRPr="00573ADB">
        <w:rPr>
          <w:rFonts w:cs="Times New Roman"/>
          <w:sz w:val="24"/>
          <w:szCs w:val="24"/>
        </w:rPr>
        <w:lastRenderedPageBreak/>
        <w:t>olarak kabul edilmesi şeklinde dikkate değer bir dönüşüm olmuştur. En azından bazı komşu milletlerin inanç sistemleri gibi, Yahudiliğin de sürgün sırasında ve sonrasında bu tür bir genişlemeye uğraması, Mısır’ın Babil tarafından fethedilmesi sonrası gelişen inançlar gibi, yeni bir düşünsel ve dini yaklaşımın doğuşuna işaret etmektedir.</w:t>
      </w:r>
      <w:r w:rsidRPr="00573ADB">
        <w:rPr>
          <w:rStyle w:val="DipnotBavurusu"/>
          <w:rFonts w:cs="Times New Roman"/>
          <w:sz w:val="24"/>
          <w:szCs w:val="24"/>
        </w:rPr>
        <w:footnoteReference w:id="6"/>
      </w:r>
    </w:p>
    <w:p w14:paraId="56DD6430"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Sürgün, eski İsrail’in siyasi, dini ve kültürel yapısında radikal dönüşümler meydana getirmiştir. Yahudilerin, sürgünden dönüş sürecindeki yeniden yapılanmaları, M.Ö. 400’lerde başlayan İkinci Tapınak Dönemi’nde, inancın daha belirgin bir form kazanmasına zemin hazırlamıştır. Bu dönem, düşünsel bir uyanışı ve Tanrı’nın ulusal sınırlar ötesi bir varlık olarak kabul edilmesinin somutlaşmasını temsil etmektedir. Bu değişimin temelleri, Yahudiliğin daha önce var olan temalar üzerine yeni bir yapı inşa edilmesi, Tanrı’nın evrensel ve kapsayıcı bir doğası olduğu anlayışının yaygınlaşmasıyla atılmıştır.</w:t>
      </w:r>
      <w:r w:rsidRPr="00573ADB">
        <w:rPr>
          <w:rStyle w:val="DipnotBavurusu"/>
          <w:rFonts w:cs="Times New Roman"/>
          <w:sz w:val="24"/>
          <w:szCs w:val="24"/>
        </w:rPr>
        <w:footnoteReference w:id="7"/>
      </w:r>
    </w:p>
    <w:p w14:paraId="06596832"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Sürgün süreci sırasında yaşanan olaylar, Yahudilikteki dini anlayışın ve tanrı kavramının derinleşmesine yol açmıştır. Eski İsrail’in kültürel ve dini kurumları, bu süreçte temel bir dönüşümden geçmiştir. Yahudiler sürgünden dönüşleri sonrasında, İkinci Tapınak Dönemi’nde tanrısal bir keşfin eşiğinde olmuşlar ve evrensel bir tanrılık anlayışına yönelmişlerdir. Dönem, sadece politik ve dini yeniden yapılanmanın değil, aynı zamanda kültürel ve dini düşünce yapısında belirgin bir evrimin de simgesi haline gelmiştir. Yahudilikte Tanrı anlayışının genişlemesi ve içselleşmesi, söz konusu süreçte önemli bir aşama olarak değerlendirilmekte ve bu durum, eski anlayışların üzerine inşa edilmiş yeni bir dini düşünce yapısının oluşumunu yansıtmaktadır.</w:t>
      </w:r>
      <w:r w:rsidRPr="00573ADB">
        <w:rPr>
          <w:rStyle w:val="DipnotBavurusu"/>
          <w:rFonts w:cs="Times New Roman"/>
          <w:sz w:val="24"/>
          <w:szCs w:val="24"/>
        </w:rPr>
        <w:footnoteReference w:id="8"/>
      </w:r>
    </w:p>
    <w:p w14:paraId="2EFF0914"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 xml:space="preserve">Yahudilikte sürgün dönemi, öncesinde ve sonrasında farklı bir kimlik ve inanç yapısını ortaya koymuştur. Özellikle Babil sürgünü öncesi ve sonrasındaki dönemler, İsrail tarihinde yeni bir dini anlayışın gelişimine tanıklık etmiştir. Bu süreçte, Yahudilikte Babil sürgünüyle beraber bir dönüşüm yaşanmış ve Yahudiler, esaretin bitiminden sonra inançlarında bir canlanma deneyimlemiştir. İkinci Mabet Dönemi, önceki dönemlere kıyasla, Tanrı’nın tekil ve evrensel yönünü vurgulayan yeni bir dini anlayışın gelişimini işaret etmekte ve sürgünden önceki dönemin inanç yapısının genişlemesine ve derinleşmesine katkıda bulunmuştur. Sürgünün kendisi, Yahudilik inancının sadece İsrail halkının tanrısı olarak değil, aynı zamanda </w:t>
      </w:r>
      <w:r w:rsidRPr="00573ADB">
        <w:rPr>
          <w:rFonts w:cs="Times New Roman"/>
          <w:sz w:val="24"/>
          <w:szCs w:val="24"/>
        </w:rPr>
        <w:lastRenderedPageBreak/>
        <w:t>uluslararası bir varlık olarak da anlaşılmasına zemin hazırlayan bir dönemeç noktası olarak kabul edilmektedir.</w:t>
      </w:r>
      <w:r w:rsidRPr="00573ADB">
        <w:rPr>
          <w:rStyle w:val="DipnotBavurusu"/>
          <w:rFonts w:cs="Times New Roman"/>
          <w:sz w:val="24"/>
          <w:szCs w:val="24"/>
        </w:rPr>
        <w:footnoteReference w:id="9"/>
      </w:r>
    </w:p>
    <w:p w14:paraId="090BFF9D"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Sürgün dönemi, Yahudi tarihi için, Tanrı’nın evrenselliği ve kültürel dönüşüm açısından bir dönüm noktası olmuştur. Bu süreçte, Yahudilerin düşünsel dünyası genişlemiş ve evrensel bir Tanrı anlayışını benimsemiştir. Bu evrenselciliğin en belirgin ifadesi, Tanrı’nın sadece İsrail için değil, tüm uluslar için geçerli olduğu ve kapsayıcı bir Tanrı olarak görüldüğü fikridir. Sürgünden dönen Yahudiler, bu geniş perspektifi, İkinci Tapınak Dönemi’ne taşımış ve böylece Yahudilik, sınırları aşan bir dini kimlik kazanmıştır. Bu dönem, aynı zamanda dini ve felsefi düşüncenin gelişiminde yeni bir çığır açmış ve Yahudiliğin, çeşitli milletlerin inançlarıyla paralel bir şekilde geliştiği bir döneme işaret etmiştir. Yahudiliğin bu dönemdeki evrimi, sürgün sonrası dönemin farklı milletlerin dinleriyle olan etkileşimine de bir yansımadır.</w:t>
      </w:r>
      <w:r w:rsidRPr="00573ADB">
        <w:rPr>
          <w:rStyle w:val="DipnotBavurusu"/>
          <w:rFonts w:cs="Times New Roman"/>
          <w:sz w:val="24"/>
          <w:szCs w:val="24"/>
        </w:rPr>
        <w:footnoteReference w:id="10"/>
      </w:r>
    </w:p>
    <w:p w14:paraId="2C59D81E"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Sürgün dönemi, eski İsrail’in siyasi, kültürel ve dini yapısında köklü değişikliklere sebep olmuştur. Sürgünden dönen Yahudiler, dini yeniden yapılandırarak M.Ö. 400’lere dayanan İkinci Tapınak Dönemi’ne özgü bir dini anlayışı benimsemiştir. Bu dönemde, Tanrı anlayışı daha evrensel bir bakış açısıyla gelişmiş ve sınırları aşan bir Tanrı imajı ortaya çıkmıştır. Yahudilikte bu dönem, ulusal kimlikten evrensel bir tanrısal kavrayışa geçişin sembolü olmuştur ve bu değişim, daha önce var olan inanç yapısının üzerine inşa edilen yeni ve kapsamlı bir dini düşünce yapısının oluşumunu yansıtmaktadır.</w:t>
      </w:r>
      <w:r w:rsidRPr="00573ADB">
        <w:rPr>
          <w:rStyle w:val="DipnotBavurusu"/>
          <w:rFonts w:cs="Times New Roman"/>
          <w:sz w:val="24"/>
          <w:szCs w:val="24"/>
        </w:rPr>
        <w:footnoteReference w:id="11"/>
      </w:r>
    </w:p>
    <w:p w14:paraId="0DC4C594"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t>Sürgün döneminde yaşanan derin tarihi olaylar, Yahudi düşüncesinin daha evrensel bir perspektife yönelmesini sağlamıştır. İsrail’in dini yapısındaki bu radikal değişiklikler, Yahudilerin sürgünden döndükten sonra kurdukları İkinci Tapınak Dönemi’nde daha da belirginleşmiştir. Bu dönem, yalnızca dini yeniden yapılanma dönemi değil, aynı zamanda kültürel ve dini düşüncenin derinleştiği bir dönem olarak kabul edilmektedir. İkinci Tapınak Dönemi’nde Yahudiliğin kapsamlı bir dini kimliğe bürünmesi, sürgün döneminin kültürel ve dini etkileşimleri sonucunda gerçekleşmiştir. Bu dönem, Tanrı’nın ulusal sınırları aşan bir varlık olarak anlaşılması ve Yahudi toplumunun dini kimliğinin yeniden şekillenmesi açısından kritik bir öneme sahiptir.</w:t>
      </w:r>
      <w:r w:rsidRPr="00573ADB">
        <w:rPr>
          <w:rStyle w:val="DipnotBavurusu"/>
          <w:rFonts w:cs="Times New Roman"/>
          <w:sz w:val="24"/>
          <w:szCs w:val="24"/>
        </w:rPr>
        <w:footnoteReference w:id="12"/>
      </w:r>
    </w:p>
    <w:p w14:paraId="50DC679A" w14:textId="77777777" w:rsidR="00573ADB" w:rsidRPr="00573ADB" w:rsidRDefault="00573ADB" w:rsidP="00573ADB">
      <w:pPr>
        <w:spacing w:after="240" w:line="360" w:lineRule="auto"/>
        <w:ind w:firstLine="709"/>
        <w:jc w:val="both"/>
        <w:rPr>
          <w:rFonts w:cs="Times New Roman"/>
          <w:sz w:val="24"/>
          <w:szCs w:val="24"/>
        </w:rPr>
      </w:pPr>
      <w:r w:rsidRPr="00573ADB">
        <w:rPr>
          <w:rFonts w:cs="Times New Roman"/>
          <w:sz w:val="24"/>
          <w:szCs w:val="24"/>
        </w:rPr>
        <w:lastRenderedPageBreak/>
        <w:t>Bazı tarihçiler, İkinci Tapınak Dönemi boyunca Yahudiler arasında yaşanan dini değişimleri, eski peygamberlerin kurtuluş ve ulusal yeniden doğuş beklentileri ile ilişkilendirmektedir.</w:t>
      </w:r>
      <w:r w:rsidRPr="00573ADB">
        <w:rPr>
          <w:rStyle w:val="DipnotBavurusu"/>
          <w:rFonts w:cs="Times New Roman"/>
          <w:sz w:val="24"/>
          <w:szCs w:val="24"/>
        </w:rPr>
        <w:footnoteReference w:id="13"/>
      </w:r>
      <w:r w:rsidRPr="00573ADB">
        <w:rPr>
          <w:rFonts w:cs="Times New Roman"/>
          <w:sz w:val="24"/>
          <w:szCs w:val="24"/>
        </w:rPr>
        <w:t xml:space="preserve"> Peygamberlerin sürgündekilere umut verdiği ve tapınağın yeniden inşasını öngördüğü bu dönemde, büyük bir ulusal monarşinin hayali güçlenmiştir. Ancak bu beklenen kurtuluşun ve tapınağın eski ihtişamıyla kurulmasının gerçekleşmediği, sürgünden dönen Yahudilerin karşılaştığı bir durum olmuştur. Yine </w:t>
      </w:r>
      <w:proofErr w:type="gramStart"/>
      <w:r w:rsidRPr="00573ADB">
        <w:rPr>
          <w:rFonts w:cs="Times New Roman"/>
          <w:sz w:val="24"/>
          <w:szCs w:val="24"/>
        </w:rPr>
        <w:t>de,</w:t>
      </w:r>
      <w:proofErr w:type="gramEnd"/>
      <w:r w:rsidRPr="00573ADB">
        <w:rPr>
          <w:rFonts w:cs="Times New Roman"/>
          <w:sz w:val="24"/>
          <w:szCs w:val="24"/>
        </w:rPr>
        <w:t xml:space="preserve"> sürgünden dönen Yahudiler, yeni bir mabet inşa etmiş ve bu süreç, dini anlayışlarının evriminde ve toplumsal kimliklerinin yeniden tanımlanmasında önemli bir rol oynamıştır.</w:t>
      </w:r>
      <w:r w:rsidRPr="00573ADB">
        <w:rPr>
          <w:rStyle w:val="DipnotBavurusu"/>
          <w:rFonts w:cs="Times New Roman"/>
          <w:sz w:val="24"/>
          <w:szCs w:val="24"/>
        </w:rPr>
        <w:footnoteReference w:id="14"/>
      </w:r>
    </w:p>
    <w:p w14:paraId="129DF45E" w14:textId="77777777" w:rsidR="00D376BE" w:rsidRPr="00573ADB" w:rsidRDefault="00D376BE" w:rsidP="00573ADB">
      <w:pPr>
        <w:spacing w:after="240" w:line="360" w:lineRule="auto"/>
        <w:ind w:firstLine="709"/>
        <w:jc w:val="both"/>
        <w:rPr>
          <w:rFonts w:cs="Times New Roman"/>
          <w:sz w:val="24"/>
          <w:szCs w:val="24"/>
        </w:rPr>
      </w:pPr>
    </w:p>
    <w:p w14:paraId="2CC7FAAB" w14:textId="77777777" w:rsidR="00573ADB" w:rsidRPr="00573ADB" w:rsidRDefault="00573ADB" w:rsidP="00573ADB">
      <w:pPr>
        <w:spacing w:after="240" w:line="360" w:lineRule="auto"/>
        <w:ind w:firstLine="709"/>
        <w:jc w:val="both"/>
        <w:rPr>
          <w:rFonts w:cs="Times New Roman"/>
          <w:sz w:val="24"/>
          <w:szCs w:val="24"/>
        </w:rPr>
      </w:pPr>
    </w:p>
    <w:p w14:paraId="7E611470" w14:textId="77777777" w:rsidR="00573ADB" w:rsidRPr="00573ADB" w:rsidRDefault="00573ADB" w:rsidP="00573ADB">
      <w:pPr>
        <w:spacing w:after="240" w:line="360" w:lineRule="auto"/>
        <w:ind w:firstLine="709"/>
        <w:jc w:val="both"/>
        <w:rPr>
          <w:rFonts w:cs="Times New Roman"/>
          <w:sz w:val="24"/>
          <w:szCs w:val="24"/>
        </w:rPr>
      </w:pPr>
    </w:p>
    <w:sectPr w:rsidR="00573ADB" w:rsidRPr="00573A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CAAA" w14:textId="77777777" w:rsidR="002B22A9" w:rsidRDefault="002B22A9" w:rsidP="00573ADB">
      <w:pPr>
        <w:spacing w:after="0" w:line="240" w:lineRule="auto"/>
      </w:pPr>
      <w:r>
        <w:separator/>
      </w:r>
    </w:p>
  </w:endnote>
  <w:endnote w:type="continuationSeparator" w:id="0">
    <w:p w14:paraId="207F887B" w14:textId="77777777" w:rsidR="002B22A9" w:rsidRDefault="002B22A9" w:rsidP="0057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6EF69" w14:textId="77777777" w:rsidR="002B22A9" w:rsidRDefault="002B22A9" w:rsidP="00573ADB">
      <w:pPr>
        <w:spacing w:after="0" w:line="240" w:lineRule="auto"/>
      </w:pPr>
      <w:r>
        <w:separator/>
      </w:r>
    </w:p>
  </w:footnote>
  <w:footnote w:type="continuationSeparator" w:id="0">
    <w:p w14:paraId="787A477D" w14:textId="77777777" w:rsidR="002B22A9" w:rsidRDefault="002B22A9" w:rsidP="00573ADB">
      <w:pPr>
        <w:spacing w:after="0" w:line="240" w:lineRule="auto"/>
      </w:pPr>
      <w:r>
        <w:continuationSeparator/>
      </w:r>
    </w:p>
  </w:footnote>
  <w:footnote w:id="1">
    <w:p w14:paraId="327F5890"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w:t>
      </w:r>
      <w:r w:rsidRPr="002020A6">
        <w:rPr>
          <w:rFonts w:cs="Times New Roman"/>
          <w:shd w:val="clear" w:color="auto" w:fill="FFFFFF"/>
        </w:rPr>
        <w:t>Paul Johnson, Yahudi Tarihi, çev. Filiz Orman, Islık Yayınevi, 2020, s. 137.</w:t>
      </w:r>
    </w:p>
  </w:footnote>
  <w:footnote w:id="2">
    <w:p w14:paraId="5A754914"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Joseph Campbell, Tanrının Maskeleri 2, Doğu Mitolojisi, Çev. Kudret Emiroğlu, 2020, s. 288.</w:t>
      </w:r>
    </w:p>
  </w:footnote>
  <w:footnote w:id="3">
    <w:p w14:paraId="60816A04"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Ali Osman Kurt, İkinci </w:t>
      </w:r>
      <w:proofErr w:type="spellStart"/>
      <w:r w:rsidRPr="002020A6">
        <w:rPr>
          <w:rFonts w:cs="Times New Roman"/>
        </w:rPr>
        <w:t>Mabed</w:t>
      </w:r>
      <w:proofErr w:type="spellEnd"/>
      <w:r w:rsidRPr="002020A6">
        <w:rPr>
          <w:rFonts w:cs="Times New Roman"/>
        </w:rPr>
        <w:t xml:space="preserve"> Dönemi Yahudiliğine Genel Bir Bakış. </w:t>
      </w:r>
      <w:r w:rsidRPr="002020A6">
        <w:rPr>
          <w:rFonts w:cs="Times New Roman"/>
          <w:i/>
        </w:rPr>
        <w:t>Cumhuriyet Üniversitesi İlahiyat Fakültesi Dergisi</w:t>
      </w:r>
      <w:r w:rsidRPr="002020A6">
        <w:rPr>
          <w:rFonts w:cs="Times New Roman"/>
        </w:rPr>
        <w:t>, 2006, 10(2), 437-454, s. 446.</w:t>
      </w:r>
    </w:p>
  </w:footnote>
  <w:footnote w:id="4">
    <w:p w14:paraId="5FCD0EEA"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Kurt, İkinci </w:t>
      </w:r>
      <w:proofErr w:type="spellStart"/>
      <w:r w:rsidRPr="002020A6">
        <w:rPr>
          <w:rFonts w:cs="Times New Roman"/>
        </w:rPr>
        <w:t>Mabed</w:t>
      </w:r>
      <w:proofErr w:type="spellEnd"/>
      <w:r w:rsidRPr="002020A6">
        <w:rPr>
          <w:rFonts w:cs="Times New Roman"/>
        </w:rPr>
        <w:t xml:space="preserve"> Dönemi, s. 446-447.</w:t>
      </w:r>
    </w:p>
  </w:footnote>
  <w:footnote w:id="5">
    <w:p w14:paraId="58C223B0" w14:textId="77777777" w:rsidR="00573ADB" w:rsidRPr="002020A6" w:rsidRDefault="00573ADB" w:rsidP="00573ADB">
      <w:pPr>
        <w:spacing w:after="0" w:line="240" w:lineRule="auto"/>
        <w:ind w:firstLine="709"/>
        <w:jc w:val="both"/>
        <w:rPr>
          <w:rFonts w:eastAsia="Times New Roman" w:cs="Times New Roman"/>
          <w:kern w:val="0"/>
          <w:sz w:val="20"/>
          <w:szCs w:val="20"/>
          <w:lang w:eastAsia="tr-TR"/>
          <w14:ligatures w14:val="none"/>
        </w:rPr>
      </w:pPr>
      <w:r w:rsidRPr="002020A6">
        <w:rPr>
          <w:rStyle w:val="DipnotBavurusu"/>
          <w:rFonts w:cs="Times New Roman"/>
          <w:sz w:val="20"/>
          <w:szCs w:val="20"/>
        </w:rPr>
        <w:footnoteRef/>
      </w:r>
      <w:r w:rsidRPr="002020A6">
        <w:rPr>
          <w:rFonts w:cs="Times New Roman"/>
          <w:sz w:val="20"/>
          <w:szCs w:val="20"/>
        </w:rPr>
        <w:t xml:space="preserve"> </w:t>
      </w:r>
      <w:r w:rsidRPr="002020A6">
        <w:rPr>
          <w:rFonts w:eastAsia="Times New Roman" w:cs="Times New Roman"/>
          <w:kern w:val="0"/>
          <w:sz w:val="20"/>
          <w:szCs w:val="20"/>
          <w:lang w:eastAsia="tr-TR"/>
          <w14:ligatures w14:val="none"/>
        </w:rPr>
        <w:t xml:space="preserve">Mustafa </w:t>
      </w:r>
      <w:proofErr w:type="gramStart"/>
      <w:r w:rsidRPr="002020A6">
        <w:rPr>
          <w:rFonts w:eastAsia="Times New Roman" w:cs="Times New Roman"/>
          <w:kern w:val="0"/>
          <w:sz w:val="20"/>
          <w:szCs w:val="20"/>
          <w:lang w:eastAsia="tr-TR"/>
          <w14:ligatures w14:val="none"/>
        </w:rPr>
        <w:t>Yiğitoğlu,.</w:t>
      </w:r>
      <w:proofErr w:type="gramEnd"/>
      <w:r w:rsidRPr="002020A6">
        <w:rPr>
          <w:rFonts w:eastAsia="Times New Roman" w:cs="Times New Roman"/>
          <w:kern w:val="0"/>
          <w:sz w:val="20"/>
          <w:szCs w:val="20"/>
          <w:lang w:eastAsia="tr-TR"/>
          <w14:ligatures w14:val="none"/>
        </w:rPr>
        <w:t xml:space="preserve"> “Yahudilerin Tapınak Siyaseti </w:t>
      </w:r>
      <w:proofErr w:type="gramStart"/>
      <w:r w:rsidRPr="002020A6">
        <w:rPr>
          <w:rFonts w:eastAsia="Times New Roman" w:cs="Times New Roman"/>
          <w:kern w:val="0"/>
          <w:sz w:val="20"/>
          <w:szCs w:val="20"/>
          <w:lang w:eastAsia="tr-TR"/>
          <w14:ligatures w14:val="none"/>
        </w:rPr>
        <w:t>Ve</w:t>
      </w:r>
      <w:proofErr w:type="gramEnd"/>
      <w:r w:rsidRPr="002020A6">
        <w:rPr>
          <w:rFonts w:eastAsia="Times New Roman" w:cs="Times New Roman"/>
          <w:kern w:val="0"/>
          <w:sz w:val="20"/>
          <w:szCs w:val="20"/>
          <w:lang w:eastAsia="tr-TR"/>
          <w14:ligatures w14:val="none"/>
        </w:rPr>
        <w:t xml:space="preserve"> Semavi </w:t>
      </w:r>
      <w:proofErr w:type="spellStart"/>
      <w:r w:rsidRPr="002020A6">
        <w:rPr>
          <w:rFonts w:eastAsia="Times New Roman" w:cs="Times New Roman"/>
          <w:kern w:val="0"/>
          <w:sz w:val="20"/>
          <w:szCs w:val="20"/>
          <w:lang w:eastAsia="tr-TR"/>
          <w14:ligatures w14:val="none"/>
        </w:rPr>
        <w:t>Mâbed</w:t>
      </w:r>
      <w:proofErr w:type="spellEnd"/>
      <w:r w:rsidRPr="002020A6">
        <w:rPr>
          <w:rFonts w:eastAsia="Times New Roman" w:cs="Times New Roman"/>
          <w:kern w:val="0"/>
          <w:sz w:val="20"/>
          <w:szCs w:val="20"/>
          <w:lang w:eastAsia="tr-TR"/>
          <w14:ligatures w14:val="none"/>
        </w:rPr>
        <w:t>”. </w:t>
      </w:r>
      <w:r w:rsidRPr="002020A6">
        <w:rPr>
          <w:rFonts w:eastAsia="Times New Roman" w:cs="Times New Roman"/>
          <w:i/>
          <w:iCs/>
          <w:kern w:val="0"/>
          <w:sz w:val="20"/>
          <w:szCs w:val="20"/>
          <w:lang w:eastAsia="tr-TR"/>
          <w14:ligatures w14:val="none"/>
        </w:rPr>
        <w:t>Türkiye İlahiyat Araştırmaları Dergisi</w:t>
      </w:r>
      <w:r w:rsidRPr="002020A6">
        <w:rPr>
          <w:rFonts w:eastAsia="Times New Roman" w:cs="Times New Roman"/>
          <w:kern w:val="0"/>
          <w:sz w:val="20"/>
          <w:szCs w:val="20"/>
          <w:lang w:eastAsia="tr-TR"/>
          <w14:ligatures w14:val="none"/>
        </w:rPr>
        <w:t xml:space="preserve"> 1/1 (Temmuz 2017), 43-52.</w:t>
      </w:r>
    </w:p>
  </w:footnote>
  <w:footnote w:id="6">
    <w:p w14:paraId="2ADFFA5E"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Yiğitoğlu, Mustafa, Yahudilikte Tanrı’nın Yeri: Semavi </w:t>
      </w:r>
      <w:proofErr w:type="spellStart"/>
      <w:r w:rsidRPr="002020A6">
        <w:rPr>
          <w:rFonts w:cs="Times New Roman"/>
        </w:rPr>
        <w:t>Mâbed</w:t>
      </w:r>
      <w:proofErr w:type="spellEnd"/>
      <w:r w:rsidRPr="002020A6">
        <w:rPr>
          <w:rFonts w:cs="Times New Roman"/>
        </w:rPr>
        <w:t xml:space="preserve">, İstanbul: </w:t>
      </w:r>
      <w:proofErr w:type="spellStart"/>
      <w:r w:rsidRPr="002020A6">
        <w:rPr>
          <w:rFonts w:cs="Times New Roman"/>
        </w:rPr>
        <w:t>Bayem</w:t>
      </w:r>
      <w:proofErr w:type="spellEnd"/>
      <w:r w:rsidRPr="002020A6">
        <w:rPr>
          <w:rFonts w:cs="Times New Roman"/>
        </w:rPr>
        <w:t xml:space="preserve"> Ajans, 2011.</w:t>
      </w:r>
    </w:p>
  </w:footnote>
  <w:footnote w:id="7">
    <w:p w14:paraId="6D94C369"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w:t>
      </w:r>
      <w:proofErr w:type="spellStart"/>
      <w:r w:rsidRPr="002020A6">
        <w:rPr>
          <w:rFonts w:cs="Times New Roman"/>
        </w:rPr>
        <w:t>Moses</w:t>
      </w:r>
      <w:proofErr w:type="spellEnd"/>
      <w:r w:rsidRPr="002020A6">
        <w:rPr>
          <w:rFonts w:cs="Times New Roman"/>
        </w:rPr>
        <w:t xml:space="preserve"> </w:t>
      </w:r>
      <w:proofErr w:type="spellStart"/>
      <w:r w:rsidRPr="002020A6">
        <w:rPr>
          <w:rFonts w:cs="Times New Roman"/>
        </w:rPr>
        <w:t>Aberbach</w:t>
      </w:r>
      <w:proofErr w:type="spellEnd"/>
      <w:r w:rsidRPr="002020A6">
        <w:rPr>
          <w:rFonts w:cs="Times New Roman"/>
        </w:rPr>
        <w:t>, “</w:t>
      </w:r>
      <w:proofErr w:type="spellStart"/>
      <w:r w:rsidRPr="002020A6">
        <w:rPr>
          <w:rFonts w:cs="Times New Roman"/>
        </w:rPr>
        <w:t>Nebuchadnezzar</w:t>
      </w:r>
      <w:proofErr w:type="spellEnd"/>
      <w:r w:rsidRPr="002020A6">
        <w:rPr>
          <w:rFonts w:cs="Times New Roman"/>
        </w:rPr>
        <w:t xml:space="preserve"> in </w:t>
      </w:r>
      <w:proofErr w:type="spellStart"/>
      <w:r w:rsidRPr="002020A6">
        <w:rPr>
          <w:rFonts w:cs="Times New Roman"/>
        </w:rPr>
        <w:t>the</w:t>
      </w:r>
      <w:proofErr w:type="spellEnd"/>
      <w:r w:rsidRPr="002020A6">
        <w:rPr>
          <w:rFonts w:cs="Times New Roman"/>
        </w:rPr>
        <w:t xml:space="preserve"> </w:t>
      </w:r>
      <w:proofErr w:type="spellStart"/>
      <w:r w:rsidRPr="002020A6">
        <w:rPr>
          <w:rFonts w:cs="Times New Roman"/>
        </w:rPr>
        <w:t>Aggadah</w:t>
      </w:r>
      <w:proofErr w:type="spellEnd"/>
      <w:r w:rsidRPr="002020A6">
        <w:rPr>
          <w:rFonts w:cs="Times New Roman"/>
        </w:rPr>
        <w:t xml:space="preserve">”, EJ, CD Edition; Louis </w:t>
      </w:r>
      <w:proofErr w:type="spellStart"/>
      <w:r w:rsidRPr="002020A6">
        <w:rPr>
          <w:rFonts w:cs="Times New Roman"/>
        </w:rPr>
        <w:t>Ginzberg</w:t>
      </w:r>
      <w:proofErr w:type="spellEnd"/>
      <w:r w:rsidRPr="002020A6">
        <w:rPr>
          <w:rFonts w:cs="Times New Roman"/>
        </w:rPr>
        <w:t xml:space="preserve">, </w:t>
      </w:r>
      <w:proofErr w:type="spellStart"/>
      <w:r w:rsidRPr="002020A6">
        <w:rPr>
          <w:rFonts w:cs="Times New Roman"/>
        </w:rPr>
        <w:t>The</w:t>
      </w:r>
      <w:proofErr w:type="spellEnd"/>
      <w:r w:rsidRPr="002020A6">
        <w:rPr>
          <w:rFonts w:cs="Times New Roman"/>
        </w:rPr>
        <w:t xml:space="preserve"> </w:t>
      </w:r>
      <w:proofErr w:type="spellStart"/>
      <w:r w:rsidRPr="002020A6">
        <w:rPr>
          <w:rFonts w:cs="Times New Roman"/>
        </w:rPr>
        <w:t>Legends</w:t>
      </w:r>
      <w:proofErr w:type="spellEnd"/>
      <w:r w:rsidRPr="002020A6">
        <w:rPr>
          <w:rFonts w:cs="Times New Roman"/>
        </w:rPr>
        <w:t xml:space="preserve"> of </w:t>
      </w:r>
      <w:proofErr w:type="spellStart"/>
      <w:r w:rsidRPr="002020A6">
        <w:rPr>
          <w:rFonts w:cs="Times New Roman"/>
        </w:rPr>
        <w:t>the</w:t>
      </w:r>
      <w:proofErr w:type="spellEnd"/>
      <w:r w:rsidRPr="002020A6">
        <w:rPr>
          <w:rFonts w:cs="Times New Roman"/>
        </w:rPr>
        <w:t xml:space="preserve"> </w:t>
      </w:r>
      <w:proofErr w:type="spellStart"/>
      <w:r w:rsidRPr="002020A6">
        <w:rPr>
          <w:rFonts w:cs="Times New Roman"/>
        </w:rPr>
        <w:t>Jews</w:t>
      </w:r>
      <w:proofErr w:type="spellEnd"/>
      <w:r w:rsidRPr="002020A6">
        <w:rPr>
          <w:rFonts w:cs="Times New Roman"/>
        </w:rPr>
        <w:t xml:space="preserve">, IV, Baltimore </w:t>
      </w:r>
      <w:proofErr w:type="spellStart"/>
      <w:r w:rsidRPr="002020A6">
        <w:rPr>
          <w:rFonts w:cs="Times New Roman"/>
        </w:rPr>
        <w:t>and</w:t>
      </w:r>
      <w:proofErr w:type="spellEnd"/>
      <w:r w:rsidRPr="002020A6">
        <w:rPr>
          <w:rFonts w:cs="Times New Roman"/>
        </w:rPr>
        <w:t xml:space="preserve"> </w:t>
      </w:r>
      <w:proofErr w:type="spellStart"/>
      <w:r w:rsidRPr="002020A6">
        <w:rPr>
          <w:rFonts w:cs="Times New Roman"/>
        </w:rPr>
        <w:t>London</w:t>
      </w:r>
      <w:proofErr w:type="spellEnd"/>
      <w:r w:rsidRPr="002020A6">
        <w:rPr>
          <w:rFonts w:cs="Times New Roman"/>
        </w:rPr>
        <w:t>, 1998, s. 333–334.</w:t>
      </w:r>
    </w:p>
  </w:footnote>
  <w:footnote w:id="8">
    <w:p w14:paraId="7F19761F"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Kurt, Ali Osman. “</w:t>
      </w:r>
      <w:proofErr w:type="spellStart"/>
      <w:r w:rsidRPr="002020A6">
        <w:rPr>
          <w:rFonts w:cs="Times New Roman"/>
        </w:rPr>
        <w:t>Yahudilik’te</w:t>
      </w:r>
      <w:proofErr w:type="spellEnd"/>
      <w:r w:rsidRPr="002020A6">
        <w:rPr>
          <w:rFonts w:cs="Times New Roman"/>
        </w:rPr>
        <w:t xml:space="preserve"> Sürgün Teolojisi Tanrısal Bir Ceza Olarak Sürgün”. Dini Araştırmalar 9/25 (Haziran 2006), 61-78.</w:t>
      </w:r>
    </w:p>
  </w:footnote>
  <w:footnote w:id="9">
    <w:p w14:paraId="0ED58185"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w:t>
      </w:r>
      <w:r w:rsidRPr="002020A6">
        <w:rPr>
          <w:rFonts w:cs="Times New Roman"/>
          <w:shd w:val="clear" w:color="auto" w:fill="F7F8FA"/>
        </w:rPr>
        <w:t xml:space="preserve">Kurt, </w:t>
      </w:r>
      <w:proofErr w:type="spellStart"/>
      <w:r w:rsidRPr="002020A6">
        <w:rPr>
          <w:rFonts w:cs="Times New Roman"/>
          <w:shd w:val="clear" w:color="auto" w:fill="F7F8FA"/>
        </w:rPr>
        <w:t>Yahudilik’te</w:t>
      </w:r>
      <w:proofErr w:type="spellEnd"/>
      <w:r w:rsidRPr="002020A6">
        <w:rPr>
          <w:rFonts w:cs="Times New Roman"/>
          <w:shd w:val="clear" w:color="auto" w:fill="F7F8FA"/>
        </w:rPr>
        <w:t xml:space="preserve"> Sürgün Teolojisi, s. 61-78.</w:t>
      </w:r>
    </w:p>
  </w:footnote>
  <w:footnote w:id="10">
    <w:p w14:paraId="2FD68157"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w:t>
      </w:r>
      <w:r w:rsidRPr="002020A6">
        <w:rPr>
          <w:rFonts w:cs="Times New Roman"/>
          <w:shd w:val="clear" w:color="auto" w:fill="FFFFFF"/>
        </w:rPr>
        <w:t>İsmet Eşmeli, “İnanç ve İbadetlere Etkisi Bağlamında Yahudi Sürgünü”. </w:t>
      </w:r>
      <w:r w:rsidRPr="002020A6">
        <w:rPr>
          <w:rFonts w:cs="Times New Roman"/>
          <w:i/>
          <w:iCs/>
          <w:shd w:val="clear" w:color="auto" w:fill="FFFFFF"/>
        </w:rPr>
        <w:t>Pamukkale Üniversitesi İlahiyat Fakültesi Dergisi</w:t>
      </w:r>
      <w:r w:rsidRPr="002020A6">
        <w:rPr>
          <w:rFonts w:cs="Times New Roman"/>
          <w:shd w:val="clear" w:color="auto" w:fill="FFFFFF"/>
        </w:rPr>
        <w:t> 8/2 (Aralık 2021), 1046-1061.</w:t>
      </w:r>
    </w:p>
  </w:footnote>
  <w:footnote w:id="11">
    <w:p w14:paraId="532CBF05"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w:t>
      </w:r>
      <w:r w:rsidRPr="002020A6">
        <w:rPr>
          <w:rFonts w:cs="Times New Roman"/>
          <w:shd w:val="clear" w:color="auto" w:fill="FFFFFF"/>
        </w:rPr>
        <w:t>Eşmeli, Yahudi Sürgünü. s. 1059-1060.</w:t>
      </w:r>
    </w:p>
  </w:footnote>
  <w:footnote w:id="12">
    <w:p w14:paraId="76A9098A"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Ömer Faruk Harman, “Hac”, Türkiye Diyanet Vakfı İslam Ansiklopedisi (İstanbul: TDV Yayınları, 1996), 14/ 382-386.</w:t>
      </w:r>
    </w:p>
  </w:footnote>
  <w:footnote w:id="13">
    <w:p w14:paraId="4DDFF475"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w:t>
      </w:r>
      <w:r w:rsidRPr="002020A6">
        <w:rPr>
          <w:rFonts w:cs="Times New Roman"/>
          <w:shd w:val="clear" w:color="auto" w:fill="FFFFFF"/>
        </w:rPr>
        <w:t>Eşmeli, Yahudi Sürgünü. s. 1059-1060.</w:t>
      </w:r>
    </w:p>
  </w:footnote>
  <w:footnote w:id="14">
    <w:p w14:paraId="23B21A20" w14:textId="77777777" w:rsidR="00573ADB" w:rsidRPr="002020A6" w:rsidRDefault="00573ADB" w:rsidP="00573ADB">
      <w:pPr>
        <w:pStyle w:val="DipnotMetni"/>
        <w:ind w:firstLine="709"/>
        <w:jc w:val="both"/>
        <w:rPr>
          <w:rFonts w:cs="Times New Roman"/>
        </w:rPr>
      </w:pPr>
      <w:r w:rsidRPr="002020A6">
        <w:rPr>
          <w:rStyle w:val="DipnotBavurusu"/>
          <w:rFonts w:cs="Times New Roman"/>
        </w:rPr>
        <w:footnoteRef/>
      </w:r>
      <w:r w:rsidRPr="002020A6">
        <w:rPr>
          <w:rFonts w:cs="Times New Roman"/>
        </w:rPr>
        <w:t xml:space="preserve"> Ahmet Güç, Dinlerde </w:t>
      </w:r>
      <w:proofErr w:type="spellStart"/>
      <w:r w:rsidRPr="002020A6">
        <w:rPr>
          <w:rFonts w:cs="Times New Roman"/>
        </w:rPr>
        <w:t>Mabed</w:t>
      </w:r>
      <w:proofErr w:type="spellEnd"/>
      <w:r w:rsidRPr="002020A6">
        <w:rPr>
          <w:rFonts w:cs="Times New Roman"/>
        </w:rPr>
        <w:t xml:space="preserve"> ve </w:t>
      </w:r>
      <w:proofErr w:type="gramStart"/>
      <w:r w:rsidRPr="002020A6">
        <w:rPr>
          <w:rFonts w:cs="Times New Roman"/>
        </w:rPr>
        <w:t>İbadet(</w:t>
      </w:r>
      <w:proofErr w:type="gramEnd"/>
      <w:r w:rsidRPr="002020A6">
        <w:rPr>
          <w:rFonts w:cs="Times New Roman"/>
        </w:rPr>
        <w:t>İstanbul: Düşünce Kitabevi Yayınları, 2011), s. 251-254.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C0568"/>
    <w:multiLevelType w:val="multilevel"/>
    <w:tmpl w:val="1994B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0971D8"/>
    <w:multiLevelType w:val="multilevel"/>
    <w:tmpl w:val="8FAC4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0E69EE"/>
    <w:multiLevelType w:val="multilevel"/>
    <w:tmpl w:val="3962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944264">
    <w:abstractNumId w:val="0"/>
  </w:num>
  <w:num w:numId="2" w16cid:durableId="2118134160">
    <w:abstractNumId w:val="2"/>
  </w:num>
  <w:num w:numId="3" w16cid:durableId="98940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DB"/>
    <w:rsid w:val="00016EBB"/>
    <w:rsid w:val="002B22A9"/>
    <w:rsid w:val="004410B6"/>
    <w:rsid w:val="00573ADB"/>
    <w:rsid w:val="006D0B3D"/>
    <w:rsid w:val="008325B3"/>
    <w:rsid w:val="008C265D"/>
    <w:rsid w:val="00900825"/>
    <w:rsid w:val="00A04CE1"/>
    <w:rsid w:val="00AE35C4"/>
    <w:rsid w:val="00D376BE"/>
    <w:rsid w:val="00DC69D6"/>
    <w:rsid w:val="00E7345D"/>
    <w:rsid w:val="00FF7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DE2E"/>
  <w15:chartTrackingRefBased/>
  <w15:docId w15:val="{3FC420A1-FC0B-40D6-BC35-5267DBB6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DB"/>
    <w:rPr>
      <w:rFonts w:ascii="Times New Roman" w:hAnsi="Times New Roman"/>
    </w:rPr>
  </w:style>
  <w:style w:type="paragraph" w:styleId="Balk1">
    <w:name w:val="heading 1"/>
    <w:basedOn w:val="Normal"/>
    <w:next w:val="Normal"/>
    <w:link w:val="Balk1Char"/>
    <w:uiPriority w:val="9"/>
    <w:qFormat/>
    <w:rsid w:val="00573A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573A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573AD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73AD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73AD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73AD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73AD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73AD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73AD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3AD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573AD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573AD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73AD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73AD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73A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3A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3A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3ADB"/>
    <w:rPr>
      <w:rFonts w:eastAsiaTheme="majorEastAsia" w:cstheme="majorBidi"/>
      <w:color w:val="272727" w:themeColor="text1" w:themeTint="D8"/>
    </w:rPr>
  </w:style>
  <w:style w:type="paragraph" w:styleId="KonuBal">
    <w:name w:val="Title"/>
    <w:basedOn w:val="Normal"/>
    <w:next w:val="Normal"/>
    <w:link w:val="KonuBalChar"/>
    <w:uiPriority w:val="10"/>
    <w:qFormat/>
    <w:rsid w:val="00573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73A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3AD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73A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3AD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73ADB"/>
    <w:rPr>
      <w:i/>
      <w:iCs/>
      <w:color w:val="404040" w:themeColor="text1" w:themeTint="BF"/>
    </w:rPr>
  </w:style>
  <w:style w:type="paragraph" w:styleId="ListeParagraf">
    <w:name w:val="List Paragraph"/>
    <w:basedOn w:val="Normal"/>
    <w:uiPriority w:val="34"/>
    <w:qFormat/>
    <w:rsid w:val="00573ADB"/>
    <w:pPr>
      <w:ind w:left="720"/>
      <w:contextualSpacing/>
    </w:pPr>
  </w:style>
  <w:style w:type="character" w:styleId="GlVurgulama">
    <w:name w:val="Intense Emphasis"/>
    <w:basedOn w:val="VarsaylanParagrafYazTipi"/>
    <w:uiPriority w:val="21"/>
    <w:qFormat/>
    <w:rsid w:val="00573ADB"/>
    <w:rPr>
      <w:i/>
      <w:iCs/>
      <w:color w:val="2F5496" w:themeColor="accent1" w:themeShade="BF"/>
    </w:rPr>
  </w:style>
  <w:style w:type="paragraph" w:styleId="GlAlnt">
    <w:name w:val="Intense Quote"/>
    <w:basedOn w:val="Normal"/>
    <w:next w:val="Normal"/>
    <w:link w:val="GlAlntChar"/>
    <w:uiPriority w:val="30"/>
    <w:qFormat/>
    <w:rsid w:val="00573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73ADB"/>
    <w:rPr>
      <w:i/>
      <w:iCs/>
      <w:color w:val="2F5496" w:themeColor="accent1" w:themeShade="BF"/>
    </w:rPr>
  </w:style>
  <w:style w:type="character" w:styleId="GlBavuru">
    <w:name w:val="Intense Reference"/>
    <w:basedOn w:val="VarsaylanParagrafYazTipi"/>
    <w:uiPriority w:val="32"/>
    <w:qFormat/>
    <w:rsid w:val="00573ADB"/>
    <w:rPr>
      <w:b/>
      <w:bCs/>
      <w:smallCaps/>
      <w:color w:val="2F5496" w:themeColor="accent1" w:themeShade="BF"/>
      <w:spacing w:val="5"/>
    </w:rPr>
  </w:style>
  <w:style w:type="paragraph" w:styleId="NormalWeb">
    <w:name w:val="Normal (Web)"/>
    <w:basedOn w:val="Normal"/>
    <w:uiPriority w:val="99"/>
    <w:unhideWhenUsed/>
    <w:rsid w:val="00573ADB"/>
    <w:pPr>
      <w:spacing w:before="100" w:beforeAutospacing="1" w:after="100" w:afterAutospacing="1" w:line="240" w:lineRule="auto"/>
    </w:pPr>
    <w:rPr>
      <w:rFonts w:eastAsia="Times New Roman" w:cs="Times New Roman"/>
      <w:kern w:val="0"/>
      <w:sz w:val="24"/>
      <w:szCs w:val="24"/>
      <w:lang w:eastAsia="tr-TR"/>
      <w14:ligatures w14:val="none"/>
    </w:rPr>
  </w:style>
  <w:style w:type="paragraph" w:styleId="z-Formunst">
    <w:name w:val="HTML Top of Form"/>
    <w:basedOn w:val="Normal"/>
    <w:next w:val="Normal"/>
    <w:link w:val="z-FormunstChar"/>
    <w:hidden/>
    <w:uiPriority w:val="99"/>
    <w:semiHidden/>
    <w:unhideWhenUsed/>
    <w:rsid w:val="00573ADB"/>
    <w:pPr>
      <w:pBdr>
        <w:bottom w:val="single" w:sz="6" w:space="1" w:color="auto"/>
      </w:pBdr>
      <w:spacing w:after="0" w:line="240" w:lineRule="auto"/>
      <w:jc w:val="center"/>
    </w:pPr>
    <w:rPr>
      <w:rFonts w:ascii="Arial" w:eastAsia="Times New Roman" w:hAnsi="Arial" w:cs="Arial"/>
      <w:vanish/>
      <w:kern w:val="0"/>
      <w:sz w:val="16"/>
      <w:szCs w:val="16"/>
      <w:lang w:eastAsia="tr-TR"/>
      <w14:ligatures w14:val="none"/>
    </w:rPr>
  </w:style>
  <w:style w:type="character" w:customStyle="1" w:styleId="z-FormunstChar">
    <w:name w:val="z-Formun Üstü Char"/>
    <w:basedOn w:val="VarsaylanParagrafYazTipi"/>
    <w:link w:val="z-Formunst"/>
    <w:uiPriority w:val="99"/>
    <w:semiHidden/>
    <w:rsid w:val="00573ADB"/>
    <w:rPr>
      <w:rFonts w:ascii="Arial" w:eastAsia="Times New Roman" w:hAnsi="Arial" w:cs="Arial"/>
      <w:vanish/>
      <w:kern w:val="0"/>
      <w:sz w:val="16"/>
      <w:szCs w:val="16"/>
      <w:lang w:eastAsia="tr-TR"/>
      <w14:ligatures w14:val="none"/>
    </w:rPr>
  </w:style>
  <w:style w:type="paragraph" w:styleId="DipnotMetni">
    <w:name w:val="footnote text"/>
    <w:basedOn w:val="Normal"/>
    <w:link w:val="DipnotMetniChar"/>
    <w:uiPriority w:val="99"/>
    <w:unhideWhenUsed/>
    <w:rsid w:val="00573ADB"/>
    <w:pPr>
      <w:spacing w:after="0" w:line="240" w:lineRule="auto"/>
    </w:pPr>
    <w:rPr>
      <w:sz w:val="20"/>
      <w:szCs w:val="20"/>
    </w:rPr>
  </w:style>
  <w:style w:type="character" w:customStyle="1" w:styleId="DipnotMetniChar">
    <w:name w:val="Dipnot Metni Char"/>
    <w:basedOn w:val="VarsaylanParagrafYazTipi"/>
    <w:link w:val="DipnotMetni"/>
    <w:uiPriority w:val="99"/>
    <w:rsid w:val="00573ADB"/>
    <w:rPr>
      <w:rFonts w:ascii="Times New Roman" w:hAnsi="Times New Roman"/>
      <w:sz w:val="20"/>
      <w:szCs w:val="20"/>
    </w:rPr>
  </w:style>
  <w:style w:type="character" w:styleId="DipnotBavurusu">
    <w:name w:val="footnote reference"/>
    <w:basedOn w:val="VarsaylanParagrafYazTipi"/>
    <w:uiPriority w:val="99"/>
    <w:semiHidden/>
    <w:unhideWhenUsed/>
    <w:rsid w:val="00573ADB"/>
    <w:rPr>
      <w:vertAlign w:val="superscript"/>
    </w:rPr>
  </w:style>
  <w:style w:type="character" w:styleId="Kpr">
    <w:name w:val="Hyperlink"/>
    <w:basedOn w:val="VarsaylanParagrafYazTipi"/>
    <w:uiPriority w:val="99"/>
    <w:unhideWhenUsed/>
    <w:rsid w:val="00573ADB"/>
    <w:rPr>
      <w:color w:val="0000FF"/>
      <w:u w:val="single"/>
    </w:rPr>
  </w:style>
  <w:style w:type="paragraph" w:styleId="T1">
    <w:name w:val="toc 1"/>
    <w:basedOn w:val="Normal"/>
    <w:next w:val="Normal"/>
    <w:autoRedefine/>
    <w:uiPriority w:val="39"/>
    <w:unhideWhenUsed/>
    <w:rsid w:val="00573ADB"/>
    <w:pPr>
      <w:tabs>
        <w:tab w:val="right" w:leader="dot" w:pos="8494"/>
      </w:tabs>
      <w:spacing w:after="100"/>
    </w:pPr>
    <w:rPr>
      <w:b/>
      <w:noProof/>
    </w:rPr>
  </w:style>
  <w:style w:type="paragraph" w:styleId="T2">
    <w:name w:val="toc 2"/>
    <w:basedOn w:val="Normal"/>
    <w:next w:val="Normal"/>
    <w:autoRedefine/>
    <w:uiPriority w:val="39"/>
    <w:unhideWhenUsed/>
    <w:rsid w:val="00573ADB"/>
    <w:pPr>
      <w:spacing w:after="100"/>
      <w:ind w:left="220"/>
    </w:pPr>
  </w:style>
  <w:style w:type="paragraph" w:styleId="T3">
    <w:name w:val="toc 3"/>
    <w:basedOn w:val="Normal"/>
    <w:next w:val="Normal"/>
    <w:autoRedefine/>
    <w:uiPriority w:val="39"/>
    <w:unhideWhenUsed/>
    <w:rsid w:val="00573ADB"/>
    <w:pPr>
      <w:spacing w:after="100"/>
      <w:ind w:left="440"/>
    </w:pPr>
  </w:style>
  <w:style w:type="paragraph" w:styleId="stBilgi">
    <w:name w:val="header"/>
    <w:basedOn w:val="Normal"/>
    <w:link w:val="stBilgiChar"/>
    <w:uiPriority w:val="99"/>
    <w:unhideWhenUsed/>
    <w:rsid w:val="00573A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3ADB"/>
    <w:rPr>
      <w:rFonts w:ascii="Times New Roman" w:hAnsi="Times New Roman"/>
    </w:rPr>
  </w:style>
  <w:style w:type="paragraph" w:styleId="AltBilgi">
    <w:name w:val="footer"/>
    <w:basedOn w:val="Normal"/>
    <w:link w:val="AltBilgiChar"/>
    <w:uiPriority w:val="99"/>
    <w:unhideWhenUsed/>
    <w:rsid w:val="00573A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3ADB"/>
    <w:rPr>
      <w:rFonts w:ascii="Times New Roman" w:hAnsi="Times New Roman"/>
    </w:rPr>
  </w:style>
  <w:style w:type="character" w:customStyle="1" w:styleId="eser">
    <w:name w:val="eser"/>
    <w:basedOn w:val="VarsaylanParagrafYazTipi"/>
    <w:rsid w:val="00573ADB"/>
  </w:style>
  <w:style w:type="character" w:customStyle="1" w:styleId="kisaltma">
    <w:name w:val="kisaltma"/>
    <w:basedOn w:val="VarsaylanParagrafYazTipi"/>
    <w:rsid w:val="00573ADB"/>
  </w:style>
  <w:style w:type="character" w:styleId="zlenenKpr">
    <w:name w:val="FollowedHyperlink"/>
    <w:basedOn w:val="VarsaylanParagrafYazTipi"/>
    <w:uiPriority w:val="99"/>
    <w:semiHidden/>
    <w:unhideWhenUsed/>
    <w:rsid w:val="00573ADB"/>
    <w:rPr>
      <w:color w:val="954F72" w:themeColor="followedHyperlink"/>
      <w:u w:val="single"/>
    </w:rPr>
  </w:style>
  <w:style w:type="character" w:styleId="zmlenmeyenBahsetme">
    <w:name w:val="Unresolved Mention"/>
    <w:basedOn w:val="VarsaylanParagrafYazTipi"/>
    <w:uiPriority w:val="99"/>
    <w:semiHidden/>
    <w:unhideWhenUsed/>
    <w:rsid w:val="00573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Muhterem Akyaz</dc:creator>
  <cp:keywords/>
  <dc:description/>
  <cp:lastModifiedBy>Muhterem Akyaz</cp:lastModifiedBy>
  <cp:revision>1</cp:revision>
  <dcterms:created xsi:type="dcterms:W3CDTF">2025-09-28T19:27:00Z</dcterms:created>
  <dcterms:modified xsi:type="dcterms:W3CDTF">2025-09-28T19:32:00Z</dcterms:modified>
</cp:coreProperties>
</file>